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</w:pPr>
    </w:p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</w:pPr>
    </w:p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  <w:t>施工图容缺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  <w:lang w:val="en-US" w:eastAsia="zh-CN"/>
        </w:rPr>
        <w:t>报审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sz w:val="44"/>
        </w:rPr>
        <w:t>承诺书</w:t>
      </w:r>
    </w:p>
    <w:p>
      <w:pPr>
        <w:jc w:val="center"/>
        <w:rPr>
          <w:rFonts w:ascii="OFPERB+FZFSK--GBK1-0" w:hAnsi="OFPERB+FZFSK--GBK1-0" w:cs="OFPERB+FZFSK--GBK1-0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我单位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项目，由于缺少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经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</w:rPr>
        <w:t>规划部门批准的总平面图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等政策性报审材料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eastAsia="zh-CN"/>
        </w:rPr>
        <w:t>，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现向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>通州区图审</w:t>
      </w:r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中心申请提前受理项目审查，我单位承诺在该项目提前受理审查</w:t>
      </w:r>
      <w:bookmarkStart w:id="0" w:name="_GoBack"/>
      <w:bookmarkEnd w:id="0"/>
      <w:r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  <w:t>至建设工程规划许可证等政策性要件提交你中心期间，若发生规划调整或相关政策、规范、标准的变动，我单位按现行的规划要求及相关政策、规范、标准要求，重新报你中心审查该项目。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9" w:lineRule="exact"/>
        <w:ind w:left="0" w:right="0" w:firstLine="640" w:firstLineChars="200"/>
        <w:jc w:val="left"/>
        <w:textAlignment w:val="auto"/>
        <w:rPr>
          <w:rFonts w:ascii="OFPERB+FZFSK--GBK1-0" w:hAnsi="OFPERB+FZFSK--GBK1-0" w:cs="OFPERB+FZFSK--GBK1-0"/>
          <w:color w:val="000000"/>
          <w:spacing w:val="0"/>
          <w:sz w:val="32"/>
        </w:rPr>
      </w:pPr>
      <w:r>
        <w:rPr>
          <w:rFonts w:ascii="OFPERB+FZFSK--GBK1-0" w:hAnsi="OFPERB+FZFSK--GBK1-0" w:cs="OFPERB+FZFSK--GBK1-0"/>
          <w:color w:val="000000"/>
          <w:spacing w:val="0"/>
          <w:sz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</w:p>
    <w:p>
      <w:pPr>
        <w:widowControl w:val="0"/>
        <w:autoSpaceDE w:val="0"/>
        <w:autoSpaceDN w:val="0"/>
        <w:spacing w:before="0" w:after="0" w:line="359" w:lineRule="exact"/>
        <w:ind w:left="0" w:right="0"/>
        <w:jc w:val="center"/>
        <w:rPr>
          <w:rFonts w:ascii="OFPERB+FZFSK--GBK1-0" w:hAnsi="OFPERB+FZFSK--GBK1-0" w:cs="OFPERB+FZFSK--GBK1-0"/>
          <w:color w:val="000000"/>
          <w:spacing w:val="0"/>
          <w:sz w:val="32"/>
        </w:rPr>
      </w:pPr>
      <w:r>
        <w:rPr>
          <w:rFonts w:hint="eastAsia" w:ascii="OFPERB+FZFSK--GBK1-0" w:hAnsi="OFPERB+FZFSK--GBK1-0" w:cs="OFPERB+FZFSK--GBK1-0"/>
          <w:color w:val="000000"/>
          <w:spacing w:val="0"/>
          <w:sz w:val="32"/>
          <w:lang w:val="en-US" w:eastAsia="zh-CN"/>
        </w:rPr>
        <w:t xml:space="preserve">         </w:t>
      </w:r>
      <w:r>
        <w:rPr>
          <w:rFonts w:ascii="OFPERB+FZFSK--GBK1-0" w:hAnsi="OFPERB+FZFSK--GBK1-0" w:cs="OFPERB+FZFSK--GBK1-0"/>
          <w:color w:val="000000"/>
          <w:spacing w:val="0"/>
          <w:sz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ascii="OFPERB+FZFSK--GBK1-0" w:hAnsi="OFPERB+FZFSK--GBK1-0" w:cs="OFPERB+FZFSK--GBK1-0"/>
          <w:color w:val="000000"/>
          <w:spacing w:val="0"/>
          <w:sz w:val="32"/>
          <w:szCs w:val="32"/>
        </w:rPr>
      </w:pP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</w:rPr>
        <w:t>日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OFPERB+FZFSK--GBK1-0" w:hAnsi="OFPERB+FZFSK--GBK1-0" w:cs="OFPERB+FZFSK--GBK1-0"/>
          <w:color w:val="000000"/>
          <w:spacing w:val="0"/>
          <w:sz w:val="32"/>
          <w:szCs w:val="32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FPERB+FZFSK--GBK1-0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B07B6"/>
    <w:rsid w:val="19472200"/>
    <w:rsid w:val="1A837C35"/>
    <w:rsid w:val="4D8E38EC"/>
    <w:rsid w:val="4FC44B2A"/>
    <w:rsid w:val="67C61756"/>
    <w:rsid w:val="6FE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2023-03-24T03:29:00Z</dcterms:created>
  <dc:creator>USERW</dc:creator>
  <cp:lastModifiedBy>USERW</cp:lastModifiedBy>
  <cp:lastPrinted>2023-03-24T03:34:00Z</cp:lastPrinted>
  <dcterms:modified xsi:type="dcterms:W3CDTF">2023-03-24T08:37:53Z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66E6D6195A3F47FEAE307E18A684AA0D</vt:lpwstr>
  </property>
</Properties>
</file>